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5095" w14:textId="4478ACE6" w:rsidR="00347196" w:rsidRPr="003901B8" w:rsidRDefault="00347196" w:rsidP="00347196">
      <w:pPr>
        <w:rPr>
          <w:rFonts w:ascii="Poppins" w:hAnsi="Poppins" w:cs="Poppins"/>
          <w:b/>
          <w:bCs/>
          <w:sz w:val="22"/>
          <w:szCs w:val="22"/>
        </w:rPr>
      </w:pPr>
      <w:r w:rsidRPr="00347196">
        <w:rPr>
          <w:rFonts w:ascii="Poppins" w:hAnsi="Poppins" w:cs="Poppins"/>
          <w:b/>
          <w:bCs/>
          <w:sz w:val="22"/>
          <w:szCs w:val="22"/>
        </w:rPr>
        <w:t>Grievance Redressal</w:t>
      </w:r>
      <w:r w:rsidRPr="003901B8">
        <w:rPr>
          <w:rFonts w:ascii="Poppins" w:hAnsi="Poppins" w:cs="Poppins"/>
          <w:b/>
          <w:bCs/>
          <w:sz w:val="22"/>
          <w:szCs w:val="22"/>
        </w:rPr>
        <w:t xml:space="preserve"> </w:t>
      </w:r>
      <w:r w:rsidRPr="00347196">
        <w:rPr>
          <w:rFonts w:ascii="Poppins" w:hAnsi="Poppins" w:cs="Poppins"/>
          <w:b/>
          <w:bCs/>
          <w:sz w:val="22"/>
          <w:szCs w:val="22"/>
        </w:rPr>
        <w:t>/</w:t>
      </w:r>
      <w:r w:rsidRPr="003901B8">
        <w:rPr>
          <w:rFonts w:ascii="Poppins" w:hAnsi="Poppins" w:cs="Poppins"/>
          <w:b/>
          <w:bCs/>
          <w:sz w:val="22"/>
          <w:szCs w:val="22"/>
        </w:rPr>
        <w:t xml:space="preserve"> </w:t>
      </w:r>
      <w:r w:rsidRPr="003901B8">
        <w:rPr>
          <w:rFonts w:ascii="Poppins" w:hAnsi="Poppins" w:cs="Poppins"/>
          <w:b/>
          <w:bCs/>
          <w:sz w:val="22"/>
          <w:szCs w:val="22"/>
        </w:rPr>
        <w:t>Escalation Matrix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499"/>
        <w:gridCol w:w="2614"/>
        <w:gridCol w:w="1601"/>
        <w:gridCol w:w="4510"/>
        <w:gridCol w:w="2014"/>
      </w:tblGrid>
      <w:tr w:rsidR="00347196" w:rsidRPr="003901B8" w14:paraId="207FA5C1" w14:textId="77777777" w:rsidTr="0034719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87626" w14:textId="77777777" w:rsidR="00347196" w:rsidRPr="00347196" w:rsidRDefault="00347196" w:rsidP="00347196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347196">
              <w:rPr>
                <w:rFonts w:ascii="Poppins" w:hAnsi="Poppins" w:cs="Poppins"/>
                <w:b/>
                <w:bCs/>
                <w:sz w:val="22"/>
                <w:szCs w:val="22"/>
              </w:rPr>
              <w:t>Details of Designation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503D" w14:textId="77777777" w:rsidR="00347196" w:rsidRPr="00347196" w:rsidRDefault="00347196" w:rsidP="00347196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347196">
              <w:rPr>
                <w:rFonts w:ascii="Poppins" w:hAnsi="Poppins" w:cs="Poppins"/>
                <w:b/>
                <w:bCs/>
                <w:sz w:val="22"/>
                <w:szCs w:val="22"/>
              </w:rPr>
              <w:t>Contact Person Name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83C75" w14:textId="77777777" w:rsidR="00347196" w:rsidRPr="00347196" w:rsidRDefault="00347196" w:rsidP="00347196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347196">
              <w:rPr>
                <w:rFonts w:ascii="Poppins" w:hAnsi="Poppins" w:cs="Poppins"/>
                <w:b/>
                <w:bCs/>
                <w:sz w:val="22"/>
                <w:szCs w:val="22"/>
              </w:rPr>
              <w:t>Address where the physical address location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41791" w14:textId="77777777" w:rsidR="00347196" w:rsidRPr="00347196" w:rsidRDefault="00347196" w:rsidP="00347196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347196">
              <w:rPr>
                <w:rFonts w:ascii="Poppins" w:hAnsi="Poppins" w:cs="Poppins"/>
                <w:b/>
                <w:bCs/>
                <w:sz w:val="22"/>
                <w:szCs w:val="22"/>
              </w:rPr>
              <w:t>Contact No.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8DEF4" w14:textId="77777777" w:rsidR="00347196" w:rsidRPr="00347196" w:rsidRDefault="00347196" w:rsidP="00347196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347196">
              <w:rPr>
                <w:rFonts w:ascii="Poppins" w:hAnsi="Poppins" w:cs="Poppins"/>
                <w:b/>
                <w:bCs/>
                <w:sz w:val="22"/>
                <w:szCs w:val="22"/>
              </w:rPr>
              <w:t>Email-ID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2935" w14:textId="77777777" w:rsidR="00347196" w:rsidRPr="00347196" w:rsidRDefault="00347196" w:rsidP="00347196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347196">
              <w:rPr>
                <w:rFonts w:ascii="Poppins" w:hAnsi="Poppins" w:cs="Poppins"/>
                <w:b/>
                <w:bCs/>
                <w:sz w:val="22"/>
                <w:szCs w:val="22"/>
              </w:rPr>
              <w:t>Working hours when complainant can call</w:t>
            </w:r>
          </w:p>
        </w:tc>
      </w:tr>
      <w:tr w:rsidR="00347196" w:rsidRPr="003901B8" w14:paraId="1933C34B" w14:textId="77777777" w:rsidTr="0034719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6AC3C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>Customer Care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A72CF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>Customer Service Executive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8A15F" w14:textId="0A49DE2A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 xml:space="preserve">Abakkus Corporate </w:t>
            </w:r>
            <w:proofErr w:type="spellStart"/>
            <w:r w:rsidRPr="00347196">
              <w:rPr>
                <w:rFonts w:ascii="Poppins" w:hAnsi="Poppins" w:cs="Poppins"/>
                <w:sz w:val="22"/>
                <w:szCs w:val="22"/>
              </w:rPr>
              <w:t>Center</w:t>
            </w:r>
            <w:proofErr w:type="spellEnd"/>
            <w:r w:rsidRPr="00347196">
              <w:rPr>
                <w:rFonts w:ascii="Poppins" w:hAnsi="Poppins" w:cs="Poppins"/>
                <w:sz w:val="22"/>
                <w:szCs w:val="22"/>
              </w:rPr>
              <w:t>, 6th Floor, Param House, Shanti Nagar, Near Grand Hyatt, Off SCLR, Santacruz East,</w:t>
            </w:r>
            <w:r w:rsidRPr="003901B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Pr="00347196">
              <w:rPr>
                <w:rFonts w:ascii="Poppins" w:hAnsi="Poppins" w:cs="Poppins"/>
                <w:sz w:val="22"/>
                <w:szCs w:val="22"/>
              </w:rPr>
              <w:t>Mumbai – 400 055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8A22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>+91-22-6884 6601/02/85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72546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hyperlink r:id="rId5" w:history="1">
              <w:r w:rsidRPr="00347196">
                <w:rPr>
                  <w:rStyle w:val="Hyperlink"/>
                  <w:rFonts w:ascii="Poppins" w:hAnsi="Poppins" w:cs="Poppins"/>
                  <w:sz w:val="22"/>
                  <w:szCs w:val="22"/>
                </w:rPr>
                <w:t>ria@abakkusinvest.com</w:t>
              </w:r>
            </w:hyperlink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DD00F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>9.00 AM to 6.00 PM</w:t>
            </w:r>
          </w:p>
        </w:tc>
      </w:tr>
      <w:tr w:rsidR="00347196" w:rsidRPr="003901B8" w14:paraId="3BA4FF2E" w14:textId="77777777" w:rsidTr="0034719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7C0AD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>Head of Customer Care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7A208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>Mr. Vaibhav Khandait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2373B" w14:textId="66D310F0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 xml:space="preserve">Abakkus Corporate </w:t>
            </w:r>
            <w:proofErr w:type="spellStart"/>
            <w:r w:rsidRPr="00347196">
              <w:rPr>
                <w:rFonts w:ascii="Poppins" w:hAnsi="Poppins" w:cs="Poppins"/>
                <w:sz w:val="22"/>
                <w:szCs w:val="22"/>
              </w:rPr>
              <w:t>Center</w:t>
            </w:r>
            <w:proofErr w:type="spellEnd"/>
            <w:r w:rsidRPr="00347196">
              <w:rPr>
                <w:rFonts w:ascii="Poppins" w:hAnsi="Poppins" w:cs="Poppins"/>
                <w:sz w:val="22"/>
                <w:szCs w:val="22"/>
              </w:rPr>
              <w:t>, 6th Floor, Param House, Shanti Nagar, Near Grand Hyatt, Off SCLR, Santacruz East,</w:t>
            </w:r>
            <w:r w:rsidRPr="003901B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Pr="00347196">
              <w:rPr>
                <w:rFonts w:ascii="Poppins" w:hAnsi="Poppins" w:cs="Poppins"/>
                <w:sz w:val="22"/>
                <w:szCs w:val="22"/>
              </w:rPr>
              <w:t>Mumbai – 400 055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96EC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>+91-22-6884 6641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38FF6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hyperlink r:id="rId6" w:history="1">
              <w:r w:rsidRPr="00347196">
                <w:rPr>
                  <w:rStyle w:val="Hyperlink"/>
                  <w:rFonts w:ascii="Poppins" w:hAnsi="Poppins" w:cs="Poppins"/>
                  <w:sz w:val="22"/>
                  <w:szCs w:val="22"/>
                </w:rPr>
                <w:t>service@abakkusinvest.com</w:t>
              </w:r>
            </w:hyperlink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69B00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>9.00 AM to 6.00 PM</w:t>
            </w:r>
          </w:p>
        </w:tc>
      </w:tr>
      <w:tr w:rsidR="00347196" w:rsidRPr="003901B8" w14:paraId="1D5DA3FF" w14:textId="77777777" w:rsidTr="0034719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E59AF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>Compliance Officer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35D79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>Mr. Lijo Varghese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56611" w14:textId="01A030D4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 xml:space="preserve">Abakkus Corporate </w:t>
            </w:r>
            <w:proofErr w:type="spellStart"/>
            <w:r w:rsidRPr="00347196">
              <w:rPr>
                <w:rFonts w:ascii="Poppins" w:hAnsi="Poppins" w:cs="Poppins"/>
                <w:sz w:val="22"/>
                <w:szCs w:val="22"/>
              </w:rPr>
              <w:t>Center</w:t>
            </w:r>
            <w:proofErr w:type="spellEnd"/>
            <w:r w:rsidRPr="00347196">
              <w:rPr>
                <w:rFonts w:ascii="Poppins" w:hAnsi="Poppins" w:cs="Poppins"/>
                <w:sz w:val="22"/>
                <w:szCs w:val="22"/>
              </w:rPr>
              <w:t xml:space="preserve">, 6th Floor, </w:t>
            </w:r>
            <w:r w:rsidRPr="00347196">
              <w:rPr>
                <w:rFonts w:ascii="Poppins" w:hAnsi="Poppins" w:cs="Poppins"/>
                <w:sz w:val="22"/>
                <w:szCs w:val="22"/>
              </w:rPr>
              <w:lastRenderedPageBreak/>
              <w:t>Param House, Shanti Nagar, Near Grand Hyatt, Off SCLR, Santacruz East,</w:t>
            </w:r>
            <w:r w:rsidRPr="003901B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Pr="00347196">
              <w:rPr>
                <w:rFonts w:ascii="Poppins" w:hAnsi="Poppins" w:cs="Poppins"/>
                <w:sz w:val="22"/>
                <w:szCs w:val="22"/>
              </w:rPr>
              <w:t>Mumbai – 400 055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95810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lastRenderedPageBreak/>
              <w:t>+91-22-6884 6699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45F5C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hyperlink r:id="rId7" w:history="1">
              <w:r w:rsidRPr="00347196">
                <w:rPr>
                  <w:rStyle w:val="Hyperlink"/>
                  <w:rFonts w:ascii="Poppins" w:hAnsi="Poppins" w:cs="Poppins"/>
                  <w:sz w:val="22"/>
                  <w:szCs w:val="22"/>
                </w:rPr>
                <w:t>Complianceteam@abakkusinvest.com</w:t>
              </w:r>
            </w:hyperlink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B4EE0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>9.00 AM to 6.00 PM</w:t>
            </w:r>
          </w:p>
        </w:tc>
      </w:tr>
      <w:tr w:rsidR="00347196" w:rsidRPr="003901B8" w14:paraId="3025F9CD" w14:textId="77777777" w:rsidTr="0034719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91F17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>CEO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A8AB3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7CA98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413B2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44B7C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0BA3F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>-</w:t>
            </w:r>
          </w:p>
        </w:tc>
      </w:tr>
      <w:tr w:rsidR="00347196" w:rsidRPr="003901B8" w14:paraId="229D7BE2" w14:textId="77777777" w:rsidTr="0034719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CEB24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>Principal Officer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58A5D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>Mr. Biharilal Deora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F13ED" w14:textId="2B5ADE5E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 xml:space="preserve">Abakkus Corporate </w:t>
            </w:r>
            <w:proofErr w:type="spellStart"/>
            <w:r w:rsidRPr="00347196">
              <w:rPr>
                <w:rFonts w:ascii="Poppins" w:hAnsi="Poppins" w:cs="Poppins"/>
                <w:sz w:val="22"/>
                <w:szCs w:val="22"/>
              </w:rPr>
              <w:t>Center</w:t>
            </w:r>
            <w:proofErr w:type="spellEnd"/>
            <w:r w:rsidRPr="00347196">
              <w:rPr>
                <w:rFonts w:ascii="Poppins" w:hAnsi="Poppins" w:cs="Poppins"/>
                <w:sz w:val="22"/>
                <w:szCs w:val="22"/>
              </w:rPr>
              <w:t>, 6th Floor, Param House, Shanti Nagar, Near Grand Hyatt, Off SCLR, Santacruz East,</w:t>
            </w:r>
            <w:r w:rsidRPr="003901B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Pr="00347196">
              <w:rPr>
                <w:rFonts w:ascii="Poppins" w:hAnsi="Poppins" w:cs="Poppins"/>
                <w:sz w:val="22"/>
                <w:szCs w:val="22"/>
              </w:rPr>
              <w:t>Mumbai – 400 055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C2445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>+91-22-6884 6600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8353E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hyperlink r:id="rId8" w:history="1">
              <w:r w:rsidRPr="00347196">
                <w:rPr>
                  <w:rStyle w:val="Hyperlink"/>
                  <w:rFonts w:ascii="Poppins" w:hAnsi="Poppins" w:cs="Poppins"/>
                  <w:sz w:val="22"/>
                  <w:szCs w:val="22"/>
                </w:rPr>
                <w:t>Complianceteam@abakkusinvest.com</w:t>
              </w:r>
            </w:hyperlink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F84FB" w14:textId="77777777" w:rsidR="00347196" w:rsidRPr="00347196" w:rsidRDefault="00347196" w:rsidP="00347196">
            <w:pPr>
              <w:rPr>
                <w:rFonts w:ascii="Poppins" w:hAnsi="Poppins" w:cs="Poppins"/>
                <w:sz w:val="22"/>
                <w:szCs w:val="22"/>
              </w:rPr>
            </w:pPr>
            <w:r w:rsidRPr="00347196">
              <w:rPr>
                <w:rFonts w:ascii="Poppins" w:hAnsi="Poppins" w:cs="Poppins"/>
                <w:sz w:val="22"/>
                <w:szCs w:val="22"/>
              </w:rPr>
              <w:t>9.00 AM to 6.00 PM</w:t>
            </w:r>
          </w:p>
        </w:tc>
      </w:tr>
    </w:tbl>
    <w:p w14:paraId="70370E35" w14:textId="77777777" w:rsidR="00347196" w:rsidRPr="003901B8" w:rsidRDefault="00347196">
      <w:pPr>
        <w:rPr>
          <w:rFonts w:ascii="Poppins" w:hAnsi="Poppins" w:cs="Poppins"/>
          <w:sz w:val="22"/>
          <w:szCs w:val="22"/>
        </w:rPr>
      </w:pPr>
    </w:p>
    <w:p w14:paraId="706A3374" w14:textId="203E2D2C" w:rsidR="00347196" w:rsidRPr="003901B8" w:rsidRDefault="003901B8" w:rsidP="003901B8">
      <w:pPr>
        <w:rPr>
          <w:rFonts w:ascii="Poppins" w:hAnsi="Poppins" w:cs="Poppins"/>
          <w:sz w:val="22"/>
          <w:szCs w:val="22"/>
        </w:rPr>
      </w:pPr>
      <w:r w:rsidRPr="003901B8">
        <w:rPr>
          <w:rFonts w:ascii="Poppins" w:hAnsi="Poppins" w:cs="Poppins"/>
          <w:sz w:val="22"/>
          <w:szCs w:val="22"/>
        </w:rPr>
        <w:t>A</w:t>
      </w:r>
      <w:r w:rsidRPr="003901B8">
        <w:rPr>
          <w:rFonts w:ascii="Poppins" w:hAnsi="Poppins" w:cs="Poppins"/>
          <w:sz w:val="22"/>
          <w:szCs w:val="22"/>
        </w:rPr>
        <w:t xml:space="preserve">s a part of investor awareness and cautioning public at large, </w:t>
      </w:r>
      <w:r w:rsidRPr="003901B8">
        <w:rPr>
          <w:rFonts w:ascii="Poppins" w:hAnsi="Poppins" w:cs="Poppins"/>
          <w:sz w:val="22"/>
          <w:szCs w:val="22"/>
        </w:rPr>
        <w:t xml:space="preserve">BSE Limited </w:t>
      </w:r>
      <w:r w:rsidRPr="003901B8">
        <w:rPr>
          <w:rFonts w:ascii="Poppins" w:hAnsi="Poppins" w:cs="Poppins"/>
          <w:sz w:val="22"/>
          <w:szCs w:val="22"/>
        </w:rPr>
        <w:t>is publishing and updating all issued press releases on its website</w:t>
      </w:r>
      <w:r w:rsidRPr="003901B8">
        <w:rPr>
          <w:rFonts w:ascii="Poppins" w:hAnsi="Poppins" w:cs="Poppins"/>
          <w:sz w:val="22"/>
          <w:szCs w:val="22"/>
        </w:rPr>
        <w:t xml:space="preserve"> </w:t>
      </w:r>
      <w:r w:rsidRPr="003901B8">
        <w:rPr>
          <w:rFonts w:ascii="Poppins" w:hAnsi="Poppins" w:cs="Poppins"/>
          <w:sz w:val="22"/>
          <w:szCs w:val="22"/>
        </w:rPr>
        <w:t>under ‘Media coverage and Press releases issued to caution investors’ heading. The link to view/refer issued press releases on the Exchange website is</w:t>
      </w:r>
      <w:r w:rsidRPr="003901B8">
        <w:rPr>
          <w:rFonts w:ascii="Poppins" w:hAnsi="Poppins" w:cs="Poppins"/>
          <w:sz w:val="22"/>
          <w:szCs w:val="22"/>
        </w:rPr>
        <w:t xml:space="preserve"> </w:t>
      </w:r>
      <w:r w:rsidRPr="003901B8">
        <w:rPr>
          <w:rFonts w:ascii="Poppins" w:hAnsi="Poppins" w:cs="Poppins"/>
          <w:sz w:val="22"/>
          <w:szCs w:val="22"/>
        </w:rPr>
        <w:t>given below</w:t>
      </w:r>
      <w:r w:rsidRPr="003901B8">
        <w:rPr>
          <w:rFonts w:ascii="Poppins" w:hAnsi="Poppins" w:cs="Poppins"/>
          <w:sz w:val="22"/>
          <w:szCs w:val="22"/>
        </w:rPr>
        <w:t>:</w:t>
      </w:r>
    </w:p>
    <w:p w14:paraId="337CD34D" w14:textId="213A9433" w:rsidR="003901B8" w:rsidRPr="00775BA1" w:rsidRDefault="003901B8" w:rsidP="00775BA1">
      <w:pPr>
        <w:pStyle w:val="ListParagraph"/>
        <w:numPr>
          <w:ilvl w:val="0"/>
          <w:numId w:val="1"/>
        </w:numPr>
        <w:rPr>
          <w:rFonts w:ascii="Poppins" w:hAnsi="Poppins" w:cs="Poppins"/>
          <w:sz w:val="22"/>
          <w:szCs w:val="22"/>
        </w:rPr>
      </w:pPr>
      <w:r w:rsidRPr="00775BA1">
        <w:rPr>
          <w:rFonts w:ascii="Poppins" w:hAnsi="Poppins" w:cs="Poppins"/>
          <w:sz w:val="22"/>
          <w:szCs w:val="22"/>
        </w:rPr>
        <w:t>https://www.bseindia.com/markets/MarketInfo/MediaRelease.aspx</w:t>
      </w:r>
    </w:p>
    <w:p w14:paraId="193335B5" w14:textId="5E20CA17" w:rsidR="003901B8" w:rsidRPr="00775BA1" w:rsidRDefault="003901B8" w:rsidP="00775BA1">
      <w:pPr>
        <w:pStyle w:val="ListParagraph"/>
        <w:numPr>
          <w:ilvl w:val="0"/>
          <w:numId w:val="1"/>
        </w:numPr>
        <w:rPr>
          <w:rFonts w:ascii="Poppins" w:hAnsi="Poppins" w:cs="Poppins"/>
          <w:sz w:val="22"/>
          <w:szCs w:val="22"/>
        </w:rPr>
      </w:pPr>
      <w:r w:rsidRPr="00775BA1">
        <w:rPr>
          <w:rFonts w:ascii="Poppins" w:hAnsi="Poppins" w:cs="Poppins"/>
          <w:sz w:val="22"/>
          <w:szCs w:val="22"/>
        </w:rPr>
        <w:t>https://www.bseindia.com/attention_investors.aspx</w:t>
      </w:r>
    </w:p>
    <w:sectPr w:rsidR="003901B8" w:rsidRPr="00775BA1" w:rsidSect="003471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5517"/>
    <w:multiLevelType w:val="hybridMultilevel"/>
    <w:tmpl w:val="448290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50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C2"/>
    <w:rsid w:val="00203CC2"/>
    <w:rsid w:val="00347196"/>
    <w:rsid w:val="003901B8"/>
    <w:rsid w:val="005352D5"/>
    <w:rsid w:val="00775BA1"/>
    <w:rsid w:val="00776D41"/>
    <w:rsid w:val="00857E01"/>
    <w:rsid w:val="00E5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7CEAC"/>
  <w15:chartTrackingRefBased/>
  <w15:docId w15:val="{8E494C85-6A58-465A-BB65-7E7EB742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C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71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team@abakkusinves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plianceteam@abakkusinve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@abakkusinvest.com" TargetMode="External"/><Relationship Id="rId5" Type="http://schemas.openxmlformats.org/officeDocument/2006/relationships/hyperlink" Target="mailto:ria@abakkusinves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Lijo Varghese</dc:creator>
  <cp:keywords/>
  <dc:description/>
  <cp:lastModifiedBy>Lijo Varghese</cp:lastModifiedBy>
  <cp:revision>4</cp:revision>
  <dcterms:created xsi:type="dcterms:W3CDTF">2024-12-23T04:54:00Z</dcterms:created>
  <dcterms:modified xsi:type="dcterms:W3CDTF">2024-12-23T05:07:00Z</dcterms:modified>
</cp:coreProperties>
</file>